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3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806"/>
        <w:gridCol w:w="1500"/>
      </w:tblGrid>
      <w:tr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48"/>
                <w:szCs w:val="48"/>
              </w:rPr>
              <w:t xml:space="preserve">Andreea Evelin Könyves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1B9AAA"/>
                <w:sz w:val="19"/>
                <w:szCs w:val="19"/>
              </w:rPr>
              <w:t xml:space="preserve">Customer Support Specialist  ·  Client Relations  ·  Remote Communication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anda_evelin@yahoo.com  |  +40 748 323 631  |  Remote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English: Bilingual / Native-Level  |  Romanian: Native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drawing>
                <wp:inline distT="0" distB="0" distL="0" distR="0">
                  <wp:extent cx="762000" cy="9429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Bdr>
          <w:bottom w:val="single" w:color="1B9AAA" w:sz="6" w:space="1"/>
        </w:pBdr>
        <w:spacing w:after="80" w:before="0"/>
      </w:pPr>
    </w:p>
    <w:p>
      <w:pPr>
        <w:spacing w:after="60" w:before="140"/>
      </w:pPr>
      <w:r>
        <w:rPr>
          <w:rFonts w:ascii="Calibri" w:cs="Calibri" w:eastAsia="Calibri" w:hAnsi="Calibri"/>
          <w:b/>
          <w:bCs/>
          <w:color w:val="1B9AAA"/>
          <w:sz w:val="19"/>
          <w:szCs w:val="19"/>
        </w:rPr>
        <w:t xml:space="preserve">PROFESSIONAL PROFILE</w:t>
      </w:r>
    </w:p>
    <w:p>
      <w:pPr>
        <w:spacing w:after="40" w:before="4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Client-focused professional with 6+ years of experience managing customer relationships across luxury retail, platform-based service environments, and international remote work. Skilled at written and verbal communication across email, video call, phone, and platform messaging — with a strong track record of client retention, clear issue resolution, and professional rapport-building. Calm under pressure, highly organised, and comfortable managing multiple client accounts simultaneously. Native Romanian speaker; bilingual English at native level.</w:t>
      </w:r>
    </w:p>
    <w:p>
      <w:pPr>
        <w:pBdr>
          <w:bottom w:val="single" w:color="1B9AAA" w:sz="6" w:space="1"/>
        </w:pBdr>
        <w:spacing w:after="80" w:before="0"/>
      </w:pPr>
    </w:p>
    <w:p>
      <w:pPr>
        <w:spacing w:after="60" w:before="140"/>
      </w:pPr>
      <w:r>
        <w:rPr>
          <w:rFonts w:ascii="Calibri" w:cs="Calibri" w:eastAsia="Calibri" w:hAnsi="Calibri"/>
          <w:b/>
          <w:bCs/>
          <w:color w:val="1B9AAA"/>
          <w:sz w:val="19"/>
          <w:szCs w:val="19"/>
        </w:rPr>
        <w:t xml:space="preserve">CORE COMPETENCIES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B9AAA"/>
          <w:sz w:val="17"/>
          <w:szCs w:val="17"/>
        </w:rPr>
        <w:t xml:space="preserve">Client Communication: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Email &amp; Written Correspondence · Video &amp; Phone Support · Platform Messaging · Tone Adaptation · Empathetic Communication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B9AAA"/>
          <w:sz w:val="17"/>
          <w:szCs w:val="17"/>
        </w:rPr>
        <w:t xml:space="preserve">Customer Relations: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Complaint Handling &amp; Resolution · Product Advisory · Client Onboarding · Relationship Management · High-Value Client Service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B9AAA"/>
          <w:sz w:val="17"/>
          <w:szCs w:val="17"/>
        </w:rPr>
        <w:t xml:space="preserve">Organisation &amp; Delivery: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Multi-Account Management · Deadline Adherence · Brief Interpretation · 100% Client Completion Rate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B9AAA"/>
          <w:sz w:val="17"/>
          <w:szCs w:val="17"/>
        </w:rPr>
        <w:t xml:space="preserve">Tools &amp; Platforms: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Google Docs · MS Office Suite · WordPress · Zoom · SAP</w:t>
      </w:r>
    </w:p>
    <w:p>
      <w:pPr>
        <w:pBdr>
          <w:bottom w:val="single" w:color="1B9AAA" w:sz="6" w:space="1"/>
        </w:pBdr>
        <w:spacing w:after="80" w:before="0"/>
      </w:pPr>
    </w:p>
    <w:p>
      <w:pPr>
        <w:spacing w:after="60" w:before="140"/>
      </w:pPr>
      <w:r>
        <w:rPr>
          <w:rFonts w:ascii="Calibri" w:cs="Calibri" w:eastAsia="Calibri" w:hAnsi="Calibri"/>
          <w:b/>
          <w:bCs/>
          <w:color w:val="1B9AAA"/>
          <w:sz w:val="19"/>
          <w:szCs w:val="19"/>
        </w:rPr>
        <w:t xml:space="preserve">PROFESSIONAL EXPERIENCE</w:t>
      </w:r>
    </w:p>
    <w:p>
      <w:pPr>
        <w:tabs>
          <w:tab w:val="right" w:pos="10306"/>
        </w:tabs>
        <w:spacing w:after="30" w:before="120"/>
      </w:pPr>
      <w:r>
        <w:rPr>
          <w:rFonts w:ascii="Calibri" w:cs="Calibri" w:eastAsia="Calibri" w:hAnsi="Calibri"/>
          <w:b/>
          <w:bCs/>
          <w:color w:val="1A1A2E"/>
          <w:sz w:val="18"/>
          <w:szCs w:val="18"/>
        </w:rPr>
        <w:t xml:space="preserve">Copywriter &amp; Ghostwriter (Remote)</w:t>
      </w:r>
      <w:r>
        <w:t xml:space="preserve">    </w:t>
      </w:r>
      <w:r>
        <w:rPr>
          <w:rFonts w:ascii="Calibri" w:cs="Calibri" w:eastAsia="Calibri" w:hAnsi="Calibri"/>
          <w:i/>
          <w:iCs/>
          <w:color w:val="1B9AAA"/>
          <w:sz w:val="18"/>
          <w:szCs w:val="18"/>
        </w:rPr>
        <w:t xml:space="preserve">The Urban Writers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2022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Managed ongoing client relationships across international accounts — communicating via email, platform messaging, and video calls to clarify briefs, align expectations, and deliver work on time.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Interpreted complex, multi-stage client briefs and translated them into actionable deliverables; proactively flagged inconsistencies and proposed solutions before they became issues.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Maintained a 100% client completion rate across 30+ long-form projects in a fully remote environment, demonstrating consistent reliability and professional follow-through.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Adapted communication style to a wide range of client profiles — from first-time authors to experienced business professionals — across psychology, self-help, business, and lifestyle niches.</w:t>
      </w:r>
    </w:p>
    <w:p>
      <w:pPr>
        <w:tabs>
          <w:tab w:val="right" w:pos="10306"/>
        </w:tabs>
        <w:spacing w:after="30" w:before="120"/>
      </w:pPr>
      <w:r>
        <w:rPr>
          <w:rFonts w:ascii="Calibri" w:cs="Calibri" w:eastAsia="Calibri" w:hAnsi="Calibri"/>
          <w:b/>
          <w:bCs/>
          <w:color w:val="1A1A2E"/>
          <w:sz w:val="18"/>
          <w:szCs w:val="18"/>
        </w:rPr>
        <w:t xml:space="preserve">Brand Ambassador &amp; Customer Advisor</w:t>
      </w:r>
      <w:r>
        <w:t xml:space="preserve">    </w:t>
      </w:r>
      <w:r>
        <w:rPr>
          <w:rFonts w:ascii="Calibri" w:cs="Calibri" w:eastAsia="Calibri" w:hAnsi="Calibri"/>
          <w:i/>
          <w:iCs/>
          <w:color w:val="1B9AAA"/>
          <w:sz w:val="18"/>
          <w:szCs w:val="18"/>
        </w:rPr>
        <w:t xml:space="preserve">KWANPEN · Joseph · Four Seasons Recruitment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2017 – 2021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Delivered high-touch customer service to luxury clientele — handling product enquiries, recommendations, complaints, and returns with discretion and professionalism.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Built lasting relationships with repeat high-net-worth customers through attentive, personalised service and consistent follow-up.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Analysed customer purchasing patterns and market trends to advise on stock selection, ensuring the right products were available for the right audience.</w:t>
      </w:r>
    </w:p>
    <w:p>
      <w:pPr>
        <w:tabs>
          <w:tab w:val="right" w:pos="10306"/>
        </w:tabs>
        <w:spacing w:after="30" w:before="120"/>
      </w:pPr>
      <w:r>
        <w:rPr>
          <w:rFonts w:ascii="Calibri" w:cs="Calibri" w:eastAsia="Calibri" w:hAnsi="Calibri"/>
          <w:b/>
          <w:bCs/>
          <w:color w:val="1A1A2E"/>
          <w:sz w:val="18"/>
          <w:szCs w:val="18"/>
        </w:rPr>
        <w:t xml:space="preserve">Content Creator &amp; Brand Copywriter</w:t>
      </w:r>
      <w:r>
        <w:t xml:space="preserve">    </w:t>
      </w:r>
      <w:r>
        <w:rPr>
          <w:rFonts w:ascii="Calibri" w:cs="Calibri" w:eastAsia="Calibri" w:hAnsi="Calibri"/>
          <w:i/>
          <w:iCs/>
          <w:color w:val="1B9AAA"/>
          <w:sz w:val="18"/>
          <w:szCs w:val="18"/>
        </w:rPr>
        <w:t xml:space="preserve">Freelance — Jewellery &amp; Fashion Brands (UK)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2017 – 2020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Managed ongoing client relationships for fashion and jewellery brands — coordinating briefs and revisions remotely while producing audience-first content.</w:t>
      </w:r>
    </w:p>
    <w:p>
      <w:pPr>
        <w:tabs>
          <w:tab w:val="right" w:pos="10306"/>
        </w:tabs>
        <w:spacing w:after="30" w:before="120"/>
      </w:pPr>
      <w:r>
        <w:rPr>
          <w:rFonts w:ascii="Calibri" w:cs="Calibri" w:eastAsia="Calibri" w:hAnsi="Calibri"/>
          <w:b/>
          <w:bCs/>
          <w:color w:val="1A1A2E"/>
          <w:sz w:val="18"/>
          <w:szCs w:val="18"/>
        </w:rPr>
        <w:t xml:space="preserve">Environmental &amp; Market Research Intern</w:t>
      </w:r>
      <w:r>
        <w:t xml:space="preserve">    </w:t>
      </w:r>
      <w:r>
        <w:rPr>
          <w:rFonts w:ascii="Calibri" w:cs="Calibri" w:eastAsia="Calibri" w:hAnsi="Calibri"/>
          <w:i/>
          <w:iCs/>
          <w:color w:val="1B9AAA"/>
          <w:sz w:val="18"/>
          <w:szCs w:val="18"/>
        </w:rPr>
        <w:t xml:space="preserve">National Environmental Agency · SMA Solar Technology, Czech Republic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2014 – 2015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A1A2E"/>
          <w:sz w:val="17"/>
          <w:szCs w:val="17"/>
        </w:rPr>
        <w:t xml:space="preserve">Produced structured reports and market evaluations for institutional and commercial clients; developed clear written communication in professional, data-driven environments.</w:t>
      </w:r>
    </w:p>
    <w:p>
      <w:pPr>
        <w:pBdr>
          <w:bottom w:val="single" w:color="1B9AAA" w:sz="6" w:space="1"/>
        </w:pBdr>
        <w:spacing w:after="80" w:before="0"/>
      </w:pPr>
    </w:p>
    <w:p>
      <w:pPr>
        <w:spacing w:after="60" w:before="140"/>
      </w:pPr>
      <w:r>
        <w:rPr>
          <w:rFonts w:ascii="Calibri" w:cs="Calibri" w:eastAsia="Calibri" w:hAnsi="Calibri"/>
          <w:b/>
          <w:bCs/>
          <w:color w:val="1B9AAA"/>
          <w:sz w:val="19"/>
          <w:szCs w:val="19"/>
        </w:rPr>
        <w:t xml:space="preserve">EDUCATION &amp; CERTIFICATIONS</w:t>
      </w:r>
    </w:p>
    <w:p>
      <w:pPr>
        <w:tabs>
          <w:tab w:val="right" w:pos="10306"/>
        </w:tabs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Fundamentals of Digital Marketing  </w:t>
      </w:r>
      <w:r>
        <w:rPr>
          <w:rFonts w:ascii="Calibri" w:cs="Calibri" w:eastAsia="Calibri" w:hAnsi="Calibri"/>
          <w:i/>
          <w:iCs/>
          <w:color w:val="1B9AAA"/>
          <w:sz w:val="17"/>
          <w:szCs w:val="17"/>
        </w:rPr>
        <w:t xml:space="preserve">Google Digital Garage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2026</w:t>
      </w:r>
    </w:p>
    <w:p>
      <w:pPr>
        <w:tabs>
          <w:tab w:val="right" w:pos="10306"/>
        </w:tabs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AI Fluency: Framework &amp; Foundations  </w:t>
      </w:r>
      <w:r>
        <w:rPr>
          <w:rFonts w:ascii="Calibri" w:cs="Calibri" w:eastAsia="Calibri" w:hAnsi="Calibri"/>
          <w:i/>
          <w:iCs/>
          <w:color w:val="1B9AAA"/>
          <w:sz w:val="17"/>
          <w:szCs w:val="17"/>
        </w:rPr>
        <w:t xml:space="preserve">Anthropic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In Progress · 2026</w:t>
      </w:r>
    </w:p>
    <w:p>
      <w:pPr>
        <w:tabs>
          <w:tab w:val="right" w:pos="10306"/>
        </w:tabs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BA (Hons) Dance &amp; Choreography  </w:t>
      </w:r>
      <w:r>
        <w:rPr>
          <w:rFonts w:ascii="Calibri" w:cs="Calibri" w:eastAsia="Calibri" w:hAnsi="Calibri"/>
          <w:i/>
          <w:iCs/>
          <w:color w:val="1B9AAA"/>
          <w:sz w:val="17"/>
          <w:szCs w:val="17"/>
        </w:rPr>
        <w:t xml:space="preserve">University of Arts, Romania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2014 – 2016</w:t>
      </w:r>
    </w:p>
    <w:p>
      <w:pPr>
        <w:tabs>
          <w:tab w:val="right" w:pos="10306"/>
        </w:tabs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BSc (Hons) Environmental Sciences  </w:t>
      </w:r>
      <w:r>
        <w:rPr>
          <w:rFonts w:ascii="Calibri" w:cs="Calibri" w:eastAsia="Calibri" w:hAnsi="Calibri"/>
          <w:i/>
          <w:iCs/>
          <w:color w:val="1B9AAA"/>
          <w:sz w:val="17"/>
          <w:szCs w:val="17"/>
        </w:rPr>
        <w:t xml:space="preserve">Babeș-Bolyai University, Romania</w:t>
      </w:r>
      <w:r>
        <w:t xml:space="preserve">	</w:t>
      </w:r>
      <w:r>
        <w:rPr>
          <w:rFonts w:ascii="Calibri" w:cs="Calibri" w:eastAsia="Calibri" w:hAnsi="Calibri"/>
          <w:color w:val="666666"/>
          <w:sz w:val="17"/>
          <w:szCs w:val="17"/>
        </w:rPr>
        <w:t xml:space="preserve">2011 – 2014</w:t>
      </w:r>
    </w:p>
    <w:p>
      <w:pPr>
        <w:pBdr>
          <w:bottom w:val="single" w:color="1B9AAA" w:sz="6" w:space="1"/>
        </w:pBdr>
        <w:spacing w:after="80" w:before="0"/>
      </w:pPr>
    </w:p>
    <w:p>
      <w:pPr>
        <w:spacing w:after="60" w:before="140"/>
      </w:pPr>
      <w:r>
        <w:rPr>
          <w:rFonts w:ascii="Calibri" w:cs="Calibri" w:eastAsia="Calibri" w:hAnsi="Calibri"/>
          <w:b/>
          <w:bCs/>
          <w:color w:val="1B9AAA"/>
          <w:sz w:val="19"/>
          <w:szCs w:val="19"/>
        </w:rPr>
        <w:t xml:space="preserve">LANGUAGES &amp; INTERESTS</w:t>
      </w:r>
    </w:p>
    <w:p>
      <w:pPr>
        <w:spacing w:after="30" w:before="40"/>
      </w:pP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English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Bilingual / Native-Level  |  </w:t>
      </w:r>
      <w:r>
        <w:rPr>
          <w:rFonts w:ascii="Calibri" w:cs="Calibri" w:eastAsia="Calibri" w:hAnsi="Calibri"/>
          <w:b/>
          <w:bCs/>
          <w:color w:val="1A1A2E"/>
          <w:sz w:val="17"/>
          <w:szCs w:val="17"/>
        </w:rPr>
        <w:t xml:space="preserve">Romanian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Native</w:t>
      </w:r>
    </w:p>
    <w:p>
      <w:pPr>
        <w:spacing w:after="0" w:before="20"/>
      </w:pPr>
      <w:r>
        <w:rPr>
          <w:rFonts w:ascii="Calibri" w:cs="Calibri" w:eastAsia="Calibri" w:hAnsi="Calibri"/>
          <w:b/>
          <w:bCs/>
          <w:color w:val="1B9AAA"/>
          <w:sz w:val="17"/>
          <w:szCs w:val="17"/>
        </w:rPr>
        <w:t xml:space="preserve">Interests: </w:t>
      </w:r>
      <w:r>
        <w:rPr>
          <w:rFonts w:ascii="Calibri" w:cs="Calibri" w:eastAsia="Calibri" w:hAnsi="Calibri"/>
          <w:color w:val="1A1A2E"/>
          <w:sz w:val="17"/>
          <w:szCs w:val="17"/>
        </w:rPr>
        <w:t xml:space="preserve">Literature · Anthropology · Travel · Gardening</w:t>
      </w:r>
    </w:p>
    <w:sectPr>
      <w:pgSz w:w="11906" w:h="16838" w:orient="portrait"/>
      <w:pgMar w:top="800" w:right="800" w:bottom="8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2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70846f1c3fbb0c4151c7523a8ffcdeac5a1d721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2026-05-15T12:20:22.199Z</dcterms:created>
  <dcterms:modified xsi:type="dcterms:W3CDTF">2026-05-15T12:20:22.199Z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